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1A23F" w14:textId="77777777" w:rsidR="00A33456" w:rsidRPr="00A33456" w:rsidRDefault="00A33456" w:rsidP="00A3345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101010"/>
          <w:sz w:val="40"/>
          <w:szCs w:val="40"/>
        </w:rPr>
      </w:pPr>
      <w:r w:rsidRPr="00A33456">
        <w:rPr>
          <w:rFonts w:cs="Arial"/>
          <w:b/>
          <w:bCs/>
          <w:color w:val="101010"/>
          <w:sz w:val="40"/>
          <w:szCs w:val="40"/>
        </w:rPr>
        <w:t>Funciones y perfil</w:t>
      </w:r>
    </w:p>
    <w:p w14:paraId="126F0D0D" w14:textId="77777777" w:rsidR="00A972BA" w:rsidRDefault="00A972BA" w:rsidP="00A33456">
      <w:pPr>
        <w:pStyle w:val="Cuerpo"/>
        <w:rPr>
          <w:rStyle w:val="Ninguno"/>
          <w:rFonts w:ascii="Gulim" w:eastAsia="Gulim" w:hAnsi="Gulim" w:cs="Gulim"/>
          <w:b/>
        </w:rPr>
      </w:pPr>
    </w:p>
    <w:p w14:paraId="49546DBC" w14:textId="77777777" w:rsidR="00336A73" w:rsidRDefault="00336A73" w:rsidP="00336A73">
      <w:pPr>
        <w:pStyle w:val="Cuerpo"/>
        <w:jc w:val="center"/>
        <w:rPr>
          <w:rStyle w:val="Ninguno"/>
          <w:rFonts w:ascii="Gulim" w:eastAsia="Gulim" w:hAnsi="Gulim" w:cs="Gulim"/>
          <w:b/>
        </w:rPr>
      </w:pPr>
    </w:p>
    <w:p w14:paraId="4702A01C" w14:textId="77777777" w:rsidR="00A972BA" w:rsidRDefault="00A972BA" w:rsidP="00A972BA">
      <w:pPr>
        <w:spacing w:after="0" w:line="240" w:lineRule="auto"/>
        <w:jc w:val="both"/>
        <w:rPr>
          <w:rFonts w:eastAsiaTheme="majorEastAsia" w:cstheme="majorBidi"/>
          <w:u w:val="single"/>
        </w:rPr>
      </w:pPr>
      <w:r>
        <w:rPr>
          <w:rFonts w:eastAsiaTheme="majorEastAsia" w:cstheme="majorBidi"/>
          <w:b/>
          <w:u w:val="single"/>
        </w:rPr>
        <w:t>Titulación y Formación complementaria</w:t>
      </w:r>
    </w:p>
    <w:p w14:paraId="4AC531B5" w14:textId="77777777" w:rsidR="00A972BA" w:rsidRDefault="00A972BA" w:rsidP="00A972BA">
      <w:pPr>
        <w:spacing w:after="0" w:line="240" w:lineRule="auto"/>
        <w:jc w:val="both"/>
        <w:rPr>
          <w:rFonts w:eastAsiaTheme="majorEastAsia" w:cstheme="majorBidi"/>
          <w:b/>
          <w:u w:val="single"/>
        </w:rPr>
      </w:pPr>
    </w:p>
    <w:p w14:paraId="0A10B6F0" w14:textId="77777777" w:rsidR="00336A73" w:rsidRPr="00336A73" w:rsidRDefault="00336A73" w:rsidP="00336A7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Ti</w:t>
      </w:r>
      <w:r w:rsidRPr="00336A73">
        <w:rPr>
          <w:rFonts w:cs="Arial"/>
        </w:rPr>
        <w:t>tulación univers</w:t>
      </w:r>
      <w:r>
        <w:rPr>
          <w:rFonts w:cs="Arial"/>
        </w:rPr>
        <w:t xml:space="preserve">itaria superior de carácter oficial y con validez </w:t>
      </w:r>
      <w:r w:rsidRPr="00336A73">
        <w:rPr>
          <w:rFonts w:cs="Arial"/>
        </w:rPr>
        <w:t>en todo el territorio nacional.</w:t>
      </w:r>
    </w:p>
    <w:p w14:paraId="3E46C1EC" w14:textId="77777777" w:rsidR="00A972BA" w:rsidRDefault="00A972BA" w:rsidP="00A972BA">
      <w:pPr>
        <w:spacing w:after="0" w:line="240" w:lineRule="auto"/>
        <w:jc w:val="both"/>
        <w:rPr>
          <w:rFonts w:cs="Arial"/>
        </w:rPr>
      </w:pPr>
    </w:p>
    <w:p w14:paraId="3B8A3F12" w14:textId="77777777" w:rsidR="00A972BA" w:rsidRDefault="00A972BA" w:rsidP="00A972BA">
      <w:pPr>
        <w:spacing w:after="0" w:line="240" w:lineRule="auto"/>
        <w:jc w:val="both"/>
        <w:rPr>
          <w:rFonts w:eastAsiaTheme="majorEastAsia" w:cstheme="majorBidi"/>
          <w:b/>
          <w:u w:val="single"/>
        </w:rPr>
      </w:pPr>
      <w:r>
        <w:rPr>
          <w:rFonts w:eastAsiaTheme="majorEastAsia" w:cstheme="majorBidi"/>
          <w:b/>
          <w:u w:val="single"/>
        </w:rPr>
        <w:t>Experiencia</w:t>
      </w:r>
    </w:p>
    <w:p w14:paraId="41A26231" w14:textId="77777777" w:rsidR="00A972BA" w:rsidRDefault="00A972BA" w:rsidP="00A972BA">
      <w:pPr>
        <w:spacing w:after="0" w:line="240" w:lineRule="auto"/>
        <w:jc w:val="both"/>
        <w:rPr>
          <w:rFonts w:eastAsiaTheme="majorEastAsia" w:cstheme="majorBidi"/>
          <w:b/>
          <w:u w:val="single"/>
        </w:rPr>
      </w:pPr>
    </w:p>
    <w:p w14:paraId="0D9DC4AD" w14:textId="77777777" w:rsidR="00336A73" w:rsidRPr="00336A73" w:rsidRDefault="00336A73" w:rsidP="00336A73">
      <w:pPr>
        <w:spacing w:after="0" w:line="240" w:lineRule="auto"/>
        <w:jc w:val="both"/>
        <w:rPr>
          <w:rFonts w:cs="Arial"/>
        </w:rPr>
      </w:pPr>
      <w:r w:rsidRPr="00336A73">
        <w:rPr>
          <w:rFonts w:cs="Arial"/>
        </w:rPr>
        <w:t>Experiencia como directivo, gerente o asimilado de entidades públicas o privadas, en la dirección y coordinación de equipos y en programas de formación e inserción laboral, así como en tareas relacionadas con drogodependencias y tratamiento de las adic</w:t>
      </w:r>
      <w:r>
        <w:rPr>
          <w:rFonts w:cs="Arial"/>
        </w:rPr>
        <w:t>c</w:t>
      </w:r>
      <w:r w:rsidRPr="00336A73">
        <w:rPr>
          <w:rFonts w:cs="Arial"/>
        </w:rPr>
        <w:t>iones.</w:t>
      </w:r>
    </w:p>
    <w:p w14:paraId="788ED046" w14:textId="77777777" w:rsidR="00A972BA" w:rsidRPr="00336A73" w:rsidRDefault="00A972BA" w:rsidP="00A972BA">
      <w:pPr>
        <w:spacing w:after="0" w:line="240" w:lineRule="auto"/>
        <w:jc w:val="both"/>
        <w:rPr>
          <w:rFonts w:cs="Arial"/>
        </w:rPr>
      </w:pPr>
    </w:p>
    <w:p w14:paraId="19D90CCF" w14:textId="77777777" w:rsidR="00A972BA" w:rsidRDefault="00A972BA" w:rsidP="00A972BA">
      <w:pPr>
        <w:spacing w:after="0" w:line="240" w:lineRule="auto"/>
        <w:jc w:val="both"/>
        <w:rPr>
          <w:rFonts w:eastAsiaTheme="majorEastAsia" w:cstheme="majorBidi"/>
          <w:b/>
          <w:u w:val="single"/>
        </w:rPr>
      </w:pPr>
      <w:r>
        <w:rPr>
          <w:rFonts w:eastAsiaTheme="majorEastAsia" w:cstheme="majorBidi"/>
          <w:b/>
          <w:u w:val="single"/>
        </w:rPr>
        <w:t>Funciones</w:t>
      </w:r>
    </w:p>
    <w:p w14:paraId="36CD32F2" w14:textId="77777777" w:rsidR="00336A73" w:rsidRDefault="00336A73" w:rsidP="00A972BA">
      <w:pPr>
        <w:spacing w:after="0" w:line="240" w:lineRule="auto"/>
        <w:jc w:val="both"/>
        <w:rPr>
          <w:rFonts w:eastAsiaTheme="majorEastAsia" w:cstheme="majorBidi"/>
          <w:b/>
          <w:u w:val="single"/>
        </w:rPr>
      </w:pPr>
    </w:p>
    <w:p w14:paraId="79284E45" w14:textId="77777777" w:rsidR="00336A73" w:rsidRPr="00336A73" w:rsidRDefault="00336A73" w:rsidP="00336A73">
      <w:pPr>
        <w:numPr>
          <w:ilvl w:val="0"/>
          <w:numId w:val="4"/>
        </w:numPr>
        <w:spacing w:after="200" w:line="276" w:lineRule="auto"/>
        <w:ind w:left="709" w:hanging="425"/>
        <w:contextualSpacing/>
        <w:jc w:val="both"/>
        <w:rPr>
          <w:rFonts w:cs="Arial"/>
        </w:rPr>
      </w:pPr>
      <w:r w:rsidRPr="00336A73">
        <w:rPr>
          <w:rFonts w:cs="Arial"/>
        </w:rPr>
        <w:t>Actuar como Secretario del Patronato, con voz pero sin voto, debiendo de custodiar toda la documentación perteneciente a la Fundación, levantar las actas correspondientes a las reuniones del Patronato, expedir certificaciones e informes que sean necesarios, y todas aquellas que expresamente le deleguen, según el artículo 19 de los Estatutos.</w:t>
      </w:r>
    </w:p>
    <w:p w14:paraId="1A4F9D89" w14:textId="77777777" w:rsidR="00336A73" w:rsidRPr="00336A73" w:rsidRDefault="00336A73" w:rsidP="00336A73">
      <w:pPr>
        <w:numPr>
          <w:ilvl w:val="0"/>
          <w:numId w:val="4"/>
        </w:numPr>
        <w:spacing w:after="200" w:line="276" w:lineRule="auto"/>
        <w:ind w:left="709" w:hanging="425"/>
        <w:contextualSpacing/>
        <w:jc w:val="both"/>
        <w:rPr>
          <w:rFonts w:cs="Arial"/>
        </w:rPr>
      </w:pPr>
      <w:r w:rsidRPr="00336A73">
        <w:rPr>
          <w:rFonts w:cs="Arial"/>
        </w:rPr>
        <w:t>Le corresponderá, con las más amplias facultades legalmente delegadas del Patronato, la gestión y ejecución de los acuerdos y directrices adoptadas por el Patronato; la dirección de los servicios existentes en la Fundación y, en general, cuantas funciones de ordenación sean precisas para el mejor logro de los fines de la Fundación.</w:t>
      </w:r>
    </w:p>
    <w:p w14:paraId="7B5B5CF8" w14:textId="77777777" w:rsidR="00336A73" w:rsidRPr="00336A73" w:rsidRDefault="00336A73" w:rsidP="00336A73">
      <w:pPr>
        <w:numPr>
          <w:ilvl w:val="0"/>
          <w:numId w:val="4"/>
        </w:numPr>
        <w:spacing w:after="200" w:line="276" w:lineRule="auto"/>
        <w:ind w:left="709" w:hanging="425"/>
        <w:contextualSpacing/>
        <w:jc w:val="both"/>
        <w:rPr>
          <w:rFonts w:cs="Arial"/>
        </w:rPr>
      </w:pPr>
      <w:r w:rsidRPr="00336A73">
        <w:rPr>
          <w:rFonts w:cs="Arial"/>
        </w:rPr>
        <w:t>Preparar, proponer, dirigir programas de actuación que en cada año económico pueda la Fundación realizar.</w:t>
      </w:r>
    </w:p>
    <w:p w14:paraId="7B0A8BE1" w14:textId="77777777" w:rsidR="00336A73" w:rsidRPr="00336A73" w:rsidRDefault="00336A73" w:rsidP="00336A73">
      <w:pPr>
        <w:numPr>
          <w:ilvl w:val="0"/>
          <w:numId w:val="4"/>
        </w:numPr>
        <w:spacing w:after="200" w:line="276" w:lineRule="auto"/>
        <w:ind w:left="709" w:hanging="425"/>
        <w:contextualSpacing/>
        <w:jc w:val="both"/>
        <w:rPr>
          <w:rFonts w:cs="Arial"/>
        </w:rPr>
      </w:pPr>
      <w:r w:rsidRPr="00336A73">
        <w:rPr>
          <w:rFonts w:cs="Arial"/>
        </w:rPr>
        <w:t>Presentar al Patronato todos los proyectos sobre nuevas instalaciones de servicios técnicos o administrativos, así como la ampliación y reforma de los ya existentes.</w:t>
      </w:r>
    </w:p>
    <w:p w14:paraId="5EA52542" w14:textId="77777777" w:rsidR="00336A73" w:rsidRPr="00336A73" w:rsidRDefault="00336A73" w:rsidP="00336A73">
      <w:pPr>
        <w:numPr>
          <w:ilvl w:val="0"/>
          <w:numId w:val="4"/>
        </w:numPr>
        <w:spacing w:after="200" w:line="276" w:lineRule="auto"/>
        <w:ind w:left="709" w:hanging="425"/>
        <w:contextualSpacing/>
        <w:jc w:val="both"/>
        <w:rPr>
          <w:rFonts w:cs="Arial"/>
        </w:rPr>
      </w:pPr>
      <w:r w:rsidRPr="00336A73">
        <w:rPr>
          <w:rFonts w:cs="Arial"/>
        </w:rPr>
        <w:t>Contratar obras o adquisición de efectos y material, con arreglo a las instrucciones y procedimientos que, en su caso, apruebe el Patronato, siempre con sujeción a la legislación vigente.</w:t>
      </w:r>
    </w:p>
    <w:p w14:paraId="00932BD3" w14:textId="77777777" w:rsidR="00336A73" w:rsidRPr="00336A73" w:rsidRDefault="00336A73" w:rsidP="00336A73">
      <w:pPr>
        <w:numPr>
          <w:ilvl w:val="0"/>
          <w:numId w:val="4"/>
        </w:numPr>
        <w:spacing w:after="200" w:line="276" w:lineRule="auto"/>
        <w:ind w:left="709" w:hanging="425"/>
        <w:contextualSpacing/>
        <w:jc w:val="both"/>
        <w:rPr>
          <w:rFonts w:cs="Arial"/>
        </w:rPr>
      </w:pPr>
      <w:r w:rsidRPr="00336A73">
        <w:rPr>
          <w:rFonts w:cs="Arial"/>
        </w:rPr>
        <w:t>Organizar la contabilidad general y la auxiliar de toda instalación o servicio, así como la mecánica de los cobros y pagos.</w:t>
      </w:r>
    </w:p>
    <w:p w14:paraId="2904DEC6" w14:textId="77777777" w:rsidR="00336A73" w:rsidRPr="00336A73" w:rsidRDefault="00336A73" w:rsidP="00336A73">
      <w:pPr>
        <w:numPr>
          <w:ilvl w:val="0"/>
          <w:numId w:val="4"/>
        </w:numPr>
        <w:spacing w:after="200" w:line="276" w:lineRule="auto"/>
        <w:ind w:left="709" w:hanging="425"/>
        <w:contextualSpacing/>
        <w:jc w:val="both"/>
        <w:rPr>
          <w:rFonts w:cs="Arial"/>
        </w:rPr>
      </w:pPr>
      <w:r w:rsidRPr="00336A73">
        <w:rPr>
          <w:rFonts w:cs="Arial"/>
        </w:rPr>
        <w:t>Proponer los nombramientos y remuneraciones del personal de carácter indefinido de la Fundación, así como su separación.</w:t>
      </w:r>
    </w:p>
    <w:p w14:paraId="3AE31059" w14:textId="77777777" w:rsidR="00336A73" w:rsidRPr="00336A73" w:rsidRDefault="00336A73" w:rsidP="00336A73">
      <w:pPr>
        <w:numPr>
          <w:ilvl w:val="0"/>
          <w:numId w:val="4"/>
        </w:numPr>
        <w:spacing w:after="200" w:line="276" w:lineRule="auto"/>
        <w:ind w:left="709" w:hanging="425"/>
        <w:contextualSpacing/>
        <w:jc w:val="both"/>
        <w:rPr>
          <w:rFonts w:cs="Arial"/>
        </w:rPr>
      </w:pPr>
      <w:r w:rsidRPr="00336A73">
        <w:rPr>
          <w:rFonts w:cs="Arial"/>
        </w:rPr>
        <w:t>Ordenar, de acuerdo con las instrucciones del Patronato, los pagos y abrir cuentas corrientes o de crédito a nombre de la Fundación, en cualquier establecimiento, incluso en el Banco de España.</w:t>
      </w:r>
    </w:p>
    <w:p w14:paraId="33F6F113" w14:textId="77777777" w:rsidR="00336A73" w:rsidRPr="00336A73" w:rsidRDefault="00336A73" w:rsidP="00336A73">
      <w:pPr>
        <w:numPr>
          <w:ilvl w:val="0"/>
          <w:numId w:val="4"/>
        </w:numPr>
        <w:spacing w:after="200" w:line="276" w:lineRule="auto"/>
        <w:ind w:left="709" w:hanging="425"/>
        <w:contextualSpacing/>
        <w:jc w:val="both"/>
        <w:rPr>
          <w:rFonts w:cs="Arial"/>
        </w:rPr>
      </w:pPr>
      <w:r w:rsidRPr="00336A73">
        <w:rPr>
          <w:rFonts w:cs="Arial"/>
        </w:rPr>
        <w:t>Formalizar y presentar para su aprobación, los presupuestos relativos a las obras y servicios que convenga contratar, prestar o suministrar; y por delegación del Patronato, acordar la realización de obras que estime convenientes para los fines propios de la Fundación y contratar los servicios y suministros de todas clases, con las limitaciones que procedan y en los términos que se establezcan en el acuerdo de delegación.</w:t>
      </w:r>
    </w:p>
    <w:p w14:paraId="238B33AE" w14:textId="77777777" w:rsidR="00336A73" w:rsidRPr="00336A73" w:rsidRDefault="00336A73" w:rsidP="00336A73">
      <w:pPr>
        <w:numPr>
          <w:ilvl w:val="0"/>
          <w:numId w:val="4"/>
        </w:numPr>
        <w:spacing w:after="200" w:line="276" w:lineRule="auto"/>
        <w:ind w:left="709" w:hanging="425"/>
        <w:contextualSpacing/>
        <w:jc w:val="both"/>
        <w:rPr>
          <w:rFonts w:cs="Arial"/>
        </w:rPr>
      </w:pPr>
      <w:r w:rsidRPr="00336A73">
        <w:rPr>
          <w:rFonts w:cs="Arial"/>
        </w:rPr>
        <w:t>Llevar la firma de la Fundación.</w:t>
      </w:r>
    </w:p>
    <w:p w14:paraId="2E4A6285" w14:textId="77777777" w:rsidR="00336A73" w:rsidRPr="00336A73" w:rsidRDefault="00336A73" w:rsidP="00336A73">
      <w:pPr>
        <w:numPr>
          <w:ilvl w:val="0"/>
          <w:numId w:val="4"/>
        </w:numPr>
        <w:spacing w:after="200" w:line="276" w:lineRule="auto"/>
        <w:ind w:left="709" w:hanging="425"/>
        <w:contextualSpacing/>
        <w:jc w:val="both"/>
        <w:rPr>
          <w:rFonts w:cs="Arial"/>
        </w:rPr>
      </w:pPr>
      <w:r w:rsidRPr="00336A73">
        <w:rPr>
          <w:rFonts w:cs="Arial"/>
        </w:rPr>
        <w:t>Representar a la Fundación en todas sus relaciones con los Poderes Públicos, Entidades, Corporaciones y Personas Jurídicas o Naturales de cualquier orden.</w:t>
      </w:r>
    </w:p>
    <w:p w14:paraId="76B246A7" w14:textId="77777777" w:rsidR="00336A73" w:rsidRPr="00336A73" w:rsidRDefault="00336A73" w:rsidP="00336A73">
      <w:pPr>
        <w:spacing w:after="200" w:line="276" w:lineRule="auto"/>
        <w:ind w:left="709" w:hanging="1"/>
        <w:contextualSpacing/>
        <w:jc w:val="both"/>
        <w:rPr>
          <w:rFonts w:cs="Arial"/>
        </w:rPr>
      </w:pPr>
      <w:r w:rsidRPr="00336A73">
        <w:rPr>
          <w:rFonts w:cs="Arial"/>
        </w:rPr>
        <w:lastRenderedPageBreak/>
        <w:t>Exceptuándose aquellas funciones que, por legislación vigente (artículo 16 de la Ley 50/2002 de Fundaciones; artículo 15 Real Decreto 1337/2005 de 11 de noviembre, por el que se aprueba el Reglamento de Fundaciones de competencia estatal), únicamente puede desempeñar el Patronato de la Fundación como son:</w:t>
      </w:r>
    </w:p>
    <w:p w14:paraId="304D79AB" w14:textId="77777777" w:rsidR="00336A73" w:rsidRPr="00336A73" w:rsidRDefault="00336A73" w:rsidP="00336A73">
      <w:pPr>
        <w:spacing w:after="200" w:line="276" w:lineRule="auto"/>
        <w:ind w:left="709" w:hanging="1"/>
        <w:contextualSpacing/>
        <w:jc w:val="both"/>
        <w:rPr>
          <w:rFonts w:cs="Arial"/>
        </w:rPr>
      </w:pPr>
    </w:p>
    <w:p w14:paraId="2741587C" w14:textId="77777777" w:rsidR="00336A73" w:rsidRPr="00336A73" w:rsidRDefault="00336A73" w:rsidP="00336A73">
      <w:pPr>
        <w:numPr>
          <w:ilvl w:val="0"/>
          <w:numId w:val="5"/>
        </w:numPr>
        <w:spacing w:after="200" w:line="276" w:lineRule="auto"/>
        <w:ind w:left="1134" w:hanging="425"/>
        <w:contextualSpacing/>
        <w:jc w:val="both"/>
        <w:rPr>
          <w:rFonts w:cs="Arial"/>
        </w:rPr>
      </w:pPr>
      <w:r w:rsidRPr="00336A73">
        <w:rPr>
          <w:rFonts w:cs="Arial"/>
        </w:rPr>
        <w:t>La aprobación de cuentas y Plan de Actuación.</w:t>
      </w:r>
    </w:p>
    <w:p w14:paraId="10EC4BD7" w14:textId="77777777" w:rsidR="00336A73" w:rsidRPr="00336A73" w:rsidRDefault="00336A73" w:rsidP="00336A73">
      <w:pPr>
        <w:numPr>
          <w:ilvl w:val="0"/>
          <w:numId w:val="5"/>
        </w:numPr>
        <w:spacing w:after="200" w:line="276" w:lineRule="auto"/>
        <w:ind w:left="1134" w:hanging="425"/>
        <w:contextualSpacing/>
        <w:jc w:val="both"/>
        <w:rPr>
          <w:rFonts w:cs="Arial"/>
        </w:rPr>
      </w:pPr>
      <w:r w:rsidRPr="00336A73">
        <w:rPr>
          <w:rFonts w:cs="Arial"/>
        </w:rPr>
        <w:t>Modificación de los estatutos, fusión y liquidación de la fundación.</w:t>
      </w:r>
    </w:p>
    <w:p w14:paraId="542632D3" w14:textId="77777777" w:rsidR="00336A73" w:rsidRPr="00336A73" w:rsidRDefault="00336A73" w:rsidP="00336A73">
      <w:pPr>
        <w:numPr>
          <w:ilvl w:val="0"/>
          <w:numId w:val="5"/>
        </w:numPr>
        <w:spacing w:after="200" w:line="276" w:lineRule="auto"/>
        <w:ind w:left="1134" w:hanging="425"/>
        <w:contextualSpacing/>
        <w:jc w:val="both"/>
        <w:rPr>
          <w:rFonts w:cs="Arial"/>
        </w:rPr>
      </w:pPr>
      <w:r w:rsidRPr="00336A73">
        <w:rPr>
          <w:rFonts w:cs="Arial"/>
        </w:rPr>
        <w:t>Aquellos actos que requieran la autorización del  Protectorado, que son materia exclusiva del Patronato.</w:t>
      </w:r>
    </w:p>
    <w:p w14:paraId="58789993" w14:textId="77777777" w:rsidR="00336A73" w:rsidRPr="00336A73" w:rsidRDefault="00336A73" w:rsidP="00A972BA">
      <w:pPr>
        <w:spacing w:after="0" w:line="240" w:lineRule="auto"/>
        <w:jc w:val="both"/>
        <w:rPr>
          <w:rFonts w:cs="Arial"/>
        </w:rPr>
      </w:pPr>
    </w:p>
    <w:p w14:paraId="25A87CD6" w14:textId="77777777" w:rsidR="00336A73" w:rsidRPr="00336A73" w:rsidRDefault="00336A73" w:rsidP="00336A73">
      <w:pPr>
        <w:rPr>
          <w:rFonts w:ascii="Trebuchet MS" w:eastAsia="Calibri" w:hAnsi="Trebuchet MS" w:cs="Times New Roman"/>
        </w:rPr>
      </w:pPr>
    </w:p>
    <w:p w14:paraId="4BC9EED0" w14:textId="77777777" w:rsidR="00A972BA" w:rsidRDefault="00A972BA" w:rsidP="00336A73">
      <w:pPr>
        <w:tabs>
          <w:tab w:val="left" w:pos="2860"/>
        </w:tabs>
        <w:spacing w:after="0" w:line="240" w:lineRule="auto"/>
        <w:jc w:val="both"/>
        <w:rPr>
          <w:rFonts w:eastAsiaTheme="majorEastAsia" w:cstheme="majorBidi"/>
          <w:b/>
          <w:u w:val="single"/>
        </w:rPr>
      </w:pPr>
      <w:r>
        <w:rPr>
          <w:rFonts w:eastAsiaTheme="majorEastAsia" w:cstheme="majorBidi"/>
          <w:b/>
          <w:u w:val="single"/>
        </w:rPr>
        <w:t>Retribución</w:t>
      </w:r>
    </w:p>
    <w:p w14:paraId="1CDB8FEF" w14:textId="77777777" w:rsidR="00A972BA" w:rsidRDefault="00A972BA" w:rsidP="00A972BA">
      <w:pPr>
        <w:spacing w:after="0" w:line="240" w:lineRule="auto"/>
        <w:jc w:val="both"/>
        <w:rPr>
          <w:rFonts w:cs="Arial"/>
        </w:rPr>
      </w:pPr>
    </w:p>
    <w:p w14:paraId="2E2D8CA8" w14:textId="77777777" w:rsidR="00A972BA" w:rsidRDefault="005566CC" w:rsidP="005566CC">
      <w:pPr>
        <w:spacing w:after="0" w:line="240" w:lineRule="auto"/>
        <w:jc w:val="both"/>
        <w:rPr>
          <w:rFonts w:cs="Arial"/>
        </w:rPr>
      </w:pPr>
      <w:r w:rsidRPr="005566CC">
        <w:rPr>
          <w:rFonts w:cs="Arial"/>
        </w:rPr>
        <w:t>La cuantía de la retribución por todos los conceptos será de 50.000 euros brutos, divididos en 14 pagas, y los incrementos salariales a los que tenga derecho en virtud de la normativa de aplicación, de conformidad con lo establecido en el art. 14.1.a), relativo al límite salarial en el sector público empresarial y fundacional, de la vigente Ley de Cantabria 2/2012 de Medidas</w:t>
      </w:r>
      <w:r>
        <w:rPr>
          <w:rFonts w:cs="Arial"/>
        </w:rPr>
        <w:t xml:space="preserve"> </w:t>
      </w:r>
      <w:r w:rsidRPr="005566CC">
        <w:rPr>
          <w:rFonts w:cs="Arial"/>
        </w:rPr>
        <w:t>Administrativas, Económicas y Financieras para la ejecución de</w:t>
      </w:r>
      <w:r>
        <w:rPr>
          <w:rFonts w:cs="Arial"/>
        </w:rPr>
        <w:t xml:space="preserve">l Plan de Sostenibilidad de los </w:t>
      </w:r>
      <w:r w:rsidRPr="005566CC">
        <w:rPr>
          <w:rFonts w:cs="Arial"/>
        </w:rPr>
        <w:t>Servicios Públicos de la Comunidad Autónoma de Cantabria.</w:t>
      </w:r>
    </w:p>
    <w:p w14:paraId="2479D1CA" w14:textId="77777777" w:rsidR="0035706A" w:rsidRDefault="0003050E" w:rsidP="005566CC"/>
    <w:sectPr w:rsidR="003570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58D25" w14:textId="77777777" w:rsidR="0003050E" w:rsidRDefault="0003050E" w:rsidP="00A33456">
      <w:pPr>
        <w:spacing w:after="0" w:line="240" w:lineRule="auto"/>
      </w:pPr>
      <w:r>
        <w:separator/>
      </w:r>
    </w:p>
  </w:endnote>
  <w:endnote w:type="continuationSeparator" w:id="0">
    <w:p w14:paraId="4EC0A29B" w14:textId="77777777" w:rsidR="0003050E" w:rsidRDefault="0003050E" w:rsidP="00A3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EA77E" w14:textId="77777777" w:rsidR="0003050E" w:rsidRDefault="0003050E" w:rsidP="00A33456">
      <w:pPr>
        <w:spacing w:after="0" w:line="240" w:lineRule="auto"/>
      </w:pPr>
      <w:r>
        <w:separator/>
      </w:r>
    </w:p>
  </w:footnote>
  <w:footnote w:type="continuationSeparator" w:id="0">
    <w:p w14:paraId="750F9E93" w14:textId="77777777" w:rsidR="0003050E" w:rsidRDefault="0003050E" w:rsidP="00A3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85945" w14:textId="53309A8E" w:rsidR="00A33456" w:rsidRDefault="00A3345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A62782" wp14:editId="3215EB31">
          <wp:simplePos x="0" y="0"/>
          <wp:positionH relativeFrom="column">
            <wp:posOffset>3838670</wp:posOffset>
          </wp:positionH>
          <wp:positionV relativeFrom="paragraph">
            <wp:posOffset>-196001</wp:posOffset>
          </wp:positionV>
          <wp:extent cx="1874068" cy="457621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068" cy="457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2A01"/>
    <w:multiLevelType w:val="hybridMultilevel"/>
    <w:tmpl w:val="477A9556"/>
    <w:lvl w:ilvl="0" w:tplc="0C0A000F">
      <w:start w:val="1"/>
      <w:numFmt w:val="decimal"/>
      <w:lvlText w:val="%1."/>
      <w:lvlJc w:val="left"/>
      <w:pPr>
        <w:ind w:left="2520" w:hanging="360"/>
      </w:pPr>
    </w:lvl>
    <w:lvl w:ilvl="1" w:tplc="0C0A0019">
      <w:start w:val="1"/>
      <w:numFmt w:val="lowerLetter"/>
      <w:lvlText w:val="%2."/>
      <w:lvlJc w:val="left"/>
      <w:pPr>
        <w:ind w:left="3240" w:hanging="360"/>
      </w:pPr>
    </w:lvl>
    <w:lvl w:ilvl="2" w:tplc="0C0A001B">
      <w:start w:val="1"/>
      <w:numFmt w:val="lowerRoman"/>
      <w:lvlText w:val="%3."/>
      <w:lvlJc w:val="right"/>
      <w:pPr>
        <w:ind w:left="3960" w:hanging="180"/>
      </w:pPr>
    </w:lvl>
    <w:lvl w:ilvl="3" w:tplc="0C0A000F">
      <w:start w:val="1"/>
      <w:numFmt w:val="decimal"/>
      <w:lvlText w:val="%4."/>
      <w:lvlJc w:val="left"/>
      <w:pPr>
        <w:ind w:left="4680" w:hanging="360"/>
      </w:pPr>
    </w:lvl>
    <w:lvl w:ilvl="4" w:tplc="0C0A0019">
      <w:start w:val="1"/>
      <w:numFmt w:val="lowerLetter"/>
      <w:lvlText w:val="%5."/>
      <w:lvlJc w:val="left"/>
      <w:pPr>
        <w:ind w:left="5400" w:hanging="360"/>
      </w:pPr>
    </w:lvl>
    <w:lvl w:ilvl="5" w:tplc="0C0A001B">
      <w:start w:val="1"/>
      <w:numFmt w:val="lowerRoman"/>
      <w:lvlText w:val="%6."/>
      <w:lvlJc w:val="right"/>
      <w:pPr>
        <w:ind w:left="6120" w:hanging="180"/>
      </w:pPr>
    </w:lvl>
    <w:lvl w:ilvl="6" w:tplc="0C0A000F">
      <w:start w:val="1"/>
      <w:numFmt w:val="decimal"/>
      <w:lvlText w:val="%7."/>
      <w:lvlJc w:val="left"/>
      <w:pPr>
        <w:ind w:left="6840" w:hanging="360"/>
      </w:pPr>
    </w:lvl>
    <w:lvl w:ilvl="7" w:tplc="0C0A0019">
      <w:start w:val="1"/>
      <w:numFmt w:val="lowerLetter"/>
      <w:lvlText w:val="%8."/>
      <w:lvlJc w:val="left"/>
      <w:pPr>
        <w:ind w:left="7560" w:hanging="360"/>
      </w:pPr>
    </w:lvl>
    <w:lvl w:ilvl="8" w:tplc="0C0A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ABF25BB"/>
    <w:multiLevelType w:val="hybridMultilevel"/>
    <w:tmpl w:val="C0ACFFDC"/>
    <w:lvl w:ilvl="0" w:tplc="55EC978C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  <w:color w:val="006600"/>
        <w:lang w:val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EC1747"/>
    <w:multiLevelType w:val="hybridMultilevel"/>
    <w:tmpl w:val="679A197A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>
      <w:start w:val="1"/>
      <w:numFmt w:val="lowerRoman"/>
      <w:lvlText w:val="%3."/>
      <w:lvlJc w:val="right"/>
      <w:pPr>
        <w:ind w:left="3240" w:hanging="180"/>
      </w:pPr>
    </w:lvl>
    <w:lvl w:ilvl="3" w:tplc="0C0A000F">
      <w:start w:val="1"/>
      <w:numFmt w:val="decimal"/>
      <w:lvlText w:val="%4."/>
      <w:lvlJc w:val="left"/>
      <w:pPr>
        <w:ind w:left="3960" w:hanging="360"/>
      </w:pPr>
    </w:lvl>
    <w:lvl w:ilvl="4" w:tplc="0C0A0019">
      <w:start w:val="1"/>
      <w:numFmt w:val="lowerLetter"/>
      <w:lvlText w:val="%5."/>
      <w:lvlJc w:val="left"/>
      <w:pPr>
        <w:ind w:left="4680" w:hanging="360"/>
      </w:pPr>
    </w:lvl>
    <w:lvl w:ilvl="5" w:tplc="0C0A001B">
      <w:start w:val="1"/>
      <w:numFmt w:val="lowerRoman"/>
      <w:lvlText w:val="%6."/>
      <w:lvlJc w:val="right"/>
      <w:pPr>
        <w:ind w:left="5400" w:hanging="180"/>
      </w:pPr>
    </w:lvl>
    <w:lvl w:ilvl="6" w:tplc="0C0A000F">
      <w:start w:val="1"/>
      <w:numFmt w:val="decimal"/>
      <w:lvlText w:val="%7."/>
      <w:lvlJc w:val="left"/>
      <w:pPr>
        <w:ind w:left="6120" w:hanging="360"/>
      </w:pPr>
    </w:lvl>
    <w:lvl w:ilvl="7" w:tplc="0C0A0019">
      <w:start w:val="1"/>
      <w:numFmt w:val="lowerLetter"/>
      <w:lvlText w:val="%8."/>
      <w:lvlJc w:val="left"/>
      <w:pPr>
        <w:ind w:left="6840" w:hanging="360"/>
      </w:pPr>
    </w:lvl>
    <w:lvl w:ilvl="8" w:tplc="0C0A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E87545"/>
    <w:multiLevelType w:val="hybridMultilevel"/>
    <w:tmpl w:val="4AC85E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0768FF"/>
    <w:multiLevelType w:val="hybridMultilevel"/>
    <w:tmpl w:val="45FAF40E"/>
    <w:lvl w:ilvl="0" w:tplc="018810F0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BA"/>
    <w:rsid w:val="0003050E"/>
    <w:rsid w:val="00284875"/>
    <w:rsid w:val="00336A73"/>
    <w:rsid w:val="005566CC"/>
    <w:rsid w:val="00A33456"/>
    <w:rsid w:val="00A972BA"/>
    <w:rsid w:val="00B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101E4"/>
  <w15:chartTrackingRefBased/>
  <w15:docId w15:val="{6A13DA25-24CF-4E8E-A57F-5BEDC964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2BA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972BA"/>
    <w:pPr>
      <w:ind w:left="720"/>
      <w:contextualSpacing/>
    </w:pPr>
  </w:style>
  <w:style w:type="paragraph" w:customStyle="1" w:styleId="Cuerpo">
    <w:name w:val="Cuerpo"/>
    <w:rsid w:val="00A972B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es-ES"/>
    </w:rPr>
  </w:style>
  <w:style w:type="character" w:customStyle="1" w:styleId="Ninguno">
    <w:name w:val="Ninguno"/>
    <w:rsid w:val="00A972BA"/>
  </w:style>
  <w:style w:type="paragraph" w:styleId="Encabezado">
    <w:name w:val="header"/>
    <w:basedOn w:val="Normal"/>
    <w:link w:val="EncabezadoCar"/>
    <w:uiPriority w:val="99"/>
    <w:unhideWhenUsed/>
    <w:rsid w:val="00A334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456"/>
  </w:style>
  <w:style w:type="paragraph" w:styleId="Piedepgina">
    <w:name w:val="footer"/>
    <w:basedOn w:val="Normal"/>
    <w:link w:val="PiedepginaCar"/>
    <w:uiPriority w:val="99"/>
    <w:unhideWhenUsed/>
    <w:rsid w:val="00A334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Ruiz Lopez</dc:creator>
  <cp:keywords/>
  <dc:description/>
  <cp:lastModifiedBy>Claudia Mardones Bartolomé</cp:lastModifiedBy>
  <cp:revision>3</cp:revision>
  <dcterms:created xsi:type="dcterms:W3CDTF">2020-12-17T11:41:00Z</dcterms:created>
  <dcterms:modified xsi:type="dcterms:W3CDTF">2021-02-12T13:07:00Z</dcterms:modified>
</cp:coreProperties>
</file>