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2BA" w:rsidRPr="00A972BA" w:rsidRDefault="00A972BA" w:rsidP="00A972BA">
      <w:pPr>
        <w:shd w:val="clear" w:color="auto" w:fill="C5E0B3" w:themeFill="accent6" w:themeFillTint="66"/>
        <w:spacing w:after="0" w:line="240" w:lineRule="auto"/>
        <w:jc w:val="both"/>
        <w:rPr>
          <w:b/>
          <w:sz w:val="32"/>
          <w:szCs w:val="32"/>
        </w:rPr>
      </w:pPr>
      <w:r w:rsidRPr="00A972BA">
        <w:rPr>
          <w:b/>
          <w:sz w:val="32"/>
          <w:szCs w:val="32"/>
        </w:rPr>
        <w:t>Funciones y perfil</w:t>
      </w:r>
    </w:p>
    <w:p w:rsidR="00A972BA" w:rsidRDefault="00A972BA" w:rsidP="000532DE">
      <w:pPr>
        <w:pStyle w:val="Cuerpo"/>
        <w:rPr>
          <w:rStyle w:val="Ninguno"/>
          <w:rFonts w:ascii="Gulim" w:eastAsia="Gulim" w:hAnsi="Gulim" w:cs="Gulim"/>
          <w:b/>
        </w:rPr>
      </w:pPr>
      <w:bookmarkStart w:id="0" w:name="_GoBack"/>
      <w:bookmarkEnd w:id="0"/>
    </w:p>
    <w:p w:rsidR="00336A73" w:rsidRDefault="00336A73" w:rsidP="00336A73">
      <w:pPr>
        <w:pStyle w:val="Cuerpo"/>
        <w:jc w:val="center"/>
        <w:rPr>
          <w:rStyle w:val="Ninguno"/>
          <w:rFonts w:ascii="Gulim" w:eastAsia="Gulim" w:hAnsi="Gulim" w:cs="Gulim"/>
          <w:b/>
        </w:rPr>
      </w:pPr>
    </w:p>
    <w:p w:rsidR="00542242" w:rsidRPr="00542242" w:rsidRDefault="000532DE" w:rsidP="00A972BA">
      <w:pPr>
        <w:spacing w:after="0" w:line="240" w:lineRule="auto"/>
        <w:jc w:val="both"/>
        <w:rPr>
          <w:b/>
          <w:u w:val="single"/>
        </w:rPr>
      </w:pPr>
      <w:r w:rsidRPr="00542242">
        <w:rPr>
          <w:b/>
          <w:u w:val="single"/>
        </w:rPr>
        <w:t>Perfil</w:t>
      </w:r>
      <w:r w:rsidR="00542242" w:rsidRPr="00542242">
        <w:rPr>
          <w:b/>
          <w:u w:val="single"/>
        </w:rPr>
        <w:t xml:space="preserve"> profesional</w:t>
      </w:r>
    </w:p>
    <w:p w:rsidR="00542242" w:rsidRDefault="00542242" w:rsidP="00A972BA">
      <w:pPr>
        <w:spacing w:after="0" w:line="240" w:lineRule="auto"/>
        <w:jc w:val="both"/>
      </w:pPr>
      <w:r>
        <w:t xml:space="preserve"> </w:t>
      </w:r>
    </w:p>
    <w:p w:rsidR="00542242" w:rsidRDefault="00542242" w:rsidP="00A972BA">
      <w:pPr>
        <w:spacing w:after="0" w:line="240" w:lineRule="auto"/>
        <w:jc w:val="both"/>
        <w:rPr>
          <w:rFonts w:cs="Arial"/>
        </w:rPr>
      </w:pPr>
      <w:r>
        <w:t>Estar capacitado para el desempeño de las funciones que se requieren en el puesto directivo teniendo experiencia en puestos de responsabilidad directiva en empresas públicas o privadas o en cargos de representación pública o en organización y dirección de equipos humanos.</w:t>
      </w:r>
    </w:p>
    <w:p w:rsidR="00542242" w:rsidRPr="00336A73" w:rsidRDefault="00542242" w:rsidP="00A972BA">
      <w:pPr>
        <w:spacing w:after="0" w:line="240" w:lineRule="auto"/>
        <w:jc w:val="both"/>
        <w:rPr>
          <w:rFonts w:cs="Arial"/>
        </w:rPr>
      </w:pPr>
    </w:p>
    <w:p w:rsidR="00A972BA" w:rsidRDefault="00A972BA" w:rsidP="00A972BA">
      <w:pPr>
        <w:spacing w:after="0" w:line="240" w:lineRule="auto"/>
        <w:jc w:val="both"/>
        <w:rPr>
          <w:rFonts w:eastAsiaTheme="majorEastAsia" w:cstheme="majorBidi"/>
          <w:b/>
          <w:u w:val="single"/>
        </w:rPr>
      </w:pPr>
      <w:r>
        <w:rPr>
          <w:rFonts w:eastAsiaTheme="majorEastAsia" w:cstheme="majorBidi"/>
          <w:b/>
          <w:u w:val="single"/>
        </w:rPr>
        <w:t>Funciones</w:t>
      </w:r>
    </w:p>
    <w:p w:rsidR="00604579" w:rsidRDefault="00604579" w:rsidP="00A972BA">
      <w:pPr>
        <w:spacing w:after="0" w:line="240" w:lineRule="auto"/>
        <w:jc w:val="both"/>
        <w:rPr>
          <w:rFonts w:eastAsiaTheme="majorEastAsia" w:cstheme="majorBidi"/>
          <w:b/>
          <w:u w:val="single"/>
        </w:rPr>
      </w:pPr>
    </w:p>
    <w:p w:rsidR="00604579" w:rsidRDefault="00604579" w:rsidP="00A972BA">
      <w:pPr>
        <w:spacing w:after="0" w:line="240" w:lineRule="auto"/>
        <w:jc w:val="both"/>
        <w:rPr>
          <w:rFonts w:eastAsiaTheme="majorEastAsia" w:cstheme="majorBidi"/>
          <w:b/>
          <w:u w:val="single"/>
        </w:rPr>
      </w:pPr>
    </w:p>
    <w:p w:rsidR="00604579" w:rsidRPr="00604579" w:rsidRDefault="00604579" w:rsidP="00604579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  <w:r>
        <w:t xml:space="preserve">Actuar como </w:t>
      </w:r>
      <w:proofErr w:type="gramStart"/>
      <w:r>
        <w:t>Secretario</w:t>
      </w:r>
      <w:proofErr w:type="gramEnd"/>
      <w:r>
        <w:t xml:space="preserve"> o Secretaria del Patronato, con voz pero sin voto, debiendo de custodiar toda la documentación perteneciente a la Fundación, levantar las actas correspondientes a las reuniones del Patronato, expedir certificaciones e informes que sean necesarios, y todas aquellas que expresamente le deleguen, según el artículo 19 de los Estatutos. </w:t>
      </w:r>
    </w:p>
    <w:p w:rsidR="00E37C3F" w:rsidRPr="00E37C3F" w:rsidRDefault="00604579" w:rsidP="00604579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  <w:r>
        <w:t xml:space="preserve">Le corresponderá, con las más amplias facultades legalmente delegadas del Patronato, la gestión y ejecución de los acuerdos y directrices adoptadas por el Patronato; la dirección de los servicios existentes en la Fundación y, en general, cuantas funciones de ordenación sean precisas para el mejor logro de los fines de la Fundación. </w:t>
      </w:r>
    </w:p>
    <w:p w:rsidR="00E37C3F" w:rsidRPr="00E37C3F" w:rsidRDefault="00604579" w:rsidP="00604579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  <w:r>
        <w:t>Preparar, proponer, dirigir programas de actuación que en cada año económico pueda la Fundación realizar.</w:t>
      </w:r>
    </w:p>
    <w:p w:rsidR="00E37C3F" w:rsidRPr="00E37C3F" w:rsidRDefault="00604579" w:rsidP="00604579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  <w:r>
        <w:t>Presentar al Patronato todos los proyectos sobre nuevas instalaciones de servicios técnicos o administrativos, así como la ampliación y reforma de los ya existentes.</w:t>
      </w:r>
    </w:p>
    <w:p w:rsidR="00E37C3F" w:rsidRPr="00E37C3F" w:rsidRDefault="00604579" w:rsidP="00604579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  <w:r>
        <w:t>Contratar obras o adquisición de efectos y material, con arreglo a las instrucciones y procedimientos que, en su caso, apruebe el Patronato, siempre con sujeción a la legislación vigente.</w:t>
      </w:r>
    </w:p>
    <w:p w:rsidR="00E37C3F" w:rsidRPr="00E37C3F" w:rsidRDefault="00604579" w:rsidP="00604579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  <w:r>
        <w:t>Organizar la contabilidad general y la auxiliar de toda instalación o servicio, así como la mecánica de los cobros y pagos.</w:t>
      </w:r>
    </w:p>
    <w:p w:rsidR="00E37C3F" w:rsidRPr="00E37C3F" w:rsidRDefault="00604579" w:rsidP="00604579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  <w:r>
        <w:t xml:space="preserve">Proponer los nombramientos y remuneraciones del personal de carácter indefinido de la Fundación, así como su separación. </w:t>
      </w:r>
    </w:p>
    <w:p w:rsidR="00E37C3F" w:rsidRPr="00E37C3F" w:rsidRDefault="00604579" w:rsidP="00604579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  <w:r>
        <w:t xml:space="preserve">Ordenar, de acuerdo con las instrucciones del Patronato, los pagos y abrir cuentas corrientes o de crédito a nombre de la Fundación, en cualquier establecimiento, incluso en el Banco de España. </w:t>
      </w:r>
    </w:p>
    <w:p w:rsidR="00E37C3F" w:rsidRPr="00E37C3F" w:rsidRDefault="00604579" w:rsidP="00604579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  <w:r>
        <w:t xml:space="preserve">Formalizar y presentar para su aprobación, los presupuestos relativos a las obras y servicios que convenga contratar, prestar o suministrar; y por delegación del Patronato, acordar la realización de obras que estime convenientes para los fines propios de la Fundación y contratar los servicios y suministros de todas clases, con las limitaciones que procedan y en los términos que se establezcan en el acuerdo de delegación. </w:t>
      </w:r>
    </w:p>
    <w:p w:rsidR="00E37C3F" w:rsidRPr="00E37C3F" w:rsidRDefault="00604579" w:rsidP="00604579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  <w:r>
        <w:t xml:space="preserve">Llevar la firma de la Fundación. </w:t>
      </w:r>
    </w:p>
    <w:p w:rsidR="00604579" w:rsidRPr="00E37C3F" w:rsidRDefault="00604579" w:rsidP="00604579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  <w:r>
        <w:t>Representar a la Fundación en todas sus relaciones con los poderes públicos, entidades, corporaciones y personas jurídicas o naturales de cualquier orden.</w:t>
      </w:r>
    </w:p>
    <w:p w:rsidR="00E37C3F" w:rsidRPr="00604579" w:rsidRDefault="00E37C3F" w:rsidP="00E37C3F">
      <w:pPr>
        <w:pStyle w:val="Prrafodelista"/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</w:p>
    <w:p w:rsidR="00336A73" w:rsidRDefault="00336A73" w:rsidP="00A972BA">
      <w:pPr>
        <w:spacing w:after="0" w:line="240" w:lineRule="auto"/>
        <w:jc w:val="both"/>
        <w:rPr>
          <w:rFonts w:eastAsiaTheme="majorEastAsia" w:cstheme="majorBidi"/>
          <w:b/>
          <w:u w:val="single"/>
        </w:rPr>
      </w:pPr>
    </w:p>
    <w:p w:rsidR="00E37C3F" w:rsidRDefault="00E37C3F" w:rsidP="00A972BA">
      <w:pPr>
        <w:spacing w:after="0" w:line="240" w:lineRule="auto"/>
        <w:jc w:val="both"/>
      </w:pPr>
      <w:r>
        <w:t>Se exceptúan aquellas funciones que, conforme al artículo 13 de la Ley de Fundaciones de Cantabria, únicamente puede desempeñar el Patronato de la Fundación como son:</w:t>
      </w:r>
    </w:p>
    <w:p w:rsidR="00E37C3F" w:rsidRDefault="00E37C3F" w:rsidP="00A972BA">
      <w:pPr>
        <w:spacing w:after="0" w:line="240" w:lineRule="auto"/>
        <w:jc w:val="both"/>
      </w:pPr>
      <w:r>
        <w:t xml:space="preserve">a) La aprobación de cuentas y Plan de Actuación. </w:t>
      </w:r>
    </w:p>
    <w:p w:rsidR="00E37C3F" w:rsidRDefault="00E37C3F" w:rsidP="00A972BA">
      <w:pPr>
        <w:spacing w:after="0" w:line="240" w:lineRule="auto"/>
        <w:jc w:val="both"/>
      </w:pPr>
      <w:r>
        <w:t xml:space="preserve">b) Modificación de los estatutos, fusión, extinción y liquidación de la fundación. </w:t>
      </w:r>
    </w:p>
    <w:p w:rsidR="00E37C3F" w:rsidRDefault="00E37C3F" w:rsidP="00A972BA">
      <w:pPr>
        <w:spacing w:after="0" w:line="240" w:lineRule="auto"/>
        <w:jc w:val="both"/>
      </w:pPr>
      <w:r>
        <w:t xml:space="preserve">c) Aquellos actos que requieran la autorización del Protectorado, que son materia exclusiva del Patronato. </w:t>
      </w:r>
    </w:p>
    <w:p w:rsidR="00E37C3F" w:rsidRDefault="00E37C3F" w:rsidP="00A972BA">
      <w:pPr>
        <w:spacing w:after="0" w:line="240" w:lineRule="auto"/>
        <w:jc w:val="both"/>
      </w:pPr>
      <w:r>
        <w:lastRenderedPageBreak/>
        <w:t>d) Los actos de constitución, integración o disolución de otra persona jurídica.</w:t>
      </w:r>
    </w:p>
    <w:p w:rsidR="00E37C3F" w:rsidRDefault="00E37C3F" w:rsidP="00A972BA">
      <w:pPr>
        <w:spacing w:after="0" w:line="240" w:lineRule="auto"/>
        <w:jc w:val="both"/>
      </w:pPr>
      <w:r>
        <w:t xml:space="preserve">e) El aumento o la disminución de la dotación. </w:t>
      </w:r>
    </w:p>
    <w:p w:rsidR="00E37C3F" w:rsidRDefault="00E37C3F" w:rsidP="00A972BA">
      <w:pPr>
        <w:spacing w:after="0" w:line="240" w:lineRule="auto"/>
        <w:jc w:val="both"/>
      </w:pPr>
      <w:r>
        <w:t xml:space="preserve">f) El otorgamiento de poderes o delegación de facultades. </w:t>
      </w:r>
    </w:p>
    <w:p w:rsidR="00E37C3F" w:rsidRDefault="00E37C3F" w:rsidP="00A972BA">
      <w:pPr>
        <w:spacing w:after="0" w:line="240" w:lineRule="auto"/>
        <w:jc w:val="both"/>
      </w:pPr>
      <w:r>
        <w:t xml:space="preserve">g) Los actos que requieran la comunicación preceptiva por parte de la fundación al Protectorado y los que requieran la autorización del Protectorado u otro órgano de la Administración Pública o de presentación de declaración responsable. </w:t>
      </w:r>
    </w:p>
    <w:p w:rsidR="00E37C3F" w:rsidRDefault="00E37C3F" w:rsidP="00A972BA">
      <w:pPr>
        <w:spacing w:after="0" w:line="240" w:lineRule="auto"/>
        <w:jc w:val="both"/>
      </w:pPr>
      <w:r>
        <w:t xml:space="preserve">h) El acuerdo de presentar declaraciones responsables. </w:t>
      </w:r>
    </w:p>
    <w:p w:rsidR="00E37C3F" w:rsidRDefault="00E37C3F" w:rsidP="00A972BA">
      <w:pPr>
        <w:spacing w:after="0" w:line="240" w:lineRule="auto"/>
        <w:jc w:val="both"/>
      </w:pPr>
    </w:p>
    <w:p w:rsidR="00336A73" w:rsidRPr="00E37C3F" w:rsidRDefault="00E37C3F" w:rsidP="00A972BA">
      <w:pPr>
        <w:spacing w:after="0" w:line="240" w:lineRule="auto"/>
        <w:jc w:val="both"/>
      </w:pPr>
      <w:r>
        <w:t>La creación, modificación y supresión de los órganos previstos en estos estatutos, así como el nombramiento sustitución y cese de sus miembros y cargos deberá ser objeto de inscripción en el Registro de Fundaciones de Cantabria.</w:t>
      </w:r>
    </w:p>
    <w:p w:rsidR="00336A73" w:rsidRPr="00336A73" w:rsidRDefault="00336A73" w:rsidP="00336A73">
      <w:pPr>
        <w:rPr>
          <w:rFonts w:ascii="Trebuchet MS" w:eastAsia="Calibri" w:hAnsi="Trebuchet MS" w:cs="Times New Roman"/>
        </w:rPr>
      </w:pPr>
    </w:p>
    <w:p w:rsidR="00A972BA" w:rsidRDefault="00A972BA" w:rsidP="00336A73">
      <w:pPr>
        <w:tabs>
          <w:tab w:val="left" w:pos="2860"/>
        </w:tabs>
        <w:spacing w:after="0" w:line="240" w:lineRule="auto"/>
        <w:jc w:val="both"/>
        <w:rPr>
          <w:rFonts w:eastAsiaTheme="majorEastAsia" w:cstheme="majorBidi"/>
          <w:b/>
          <w:u w:val="single"/>
        </w:rPr>
      </w:pPr>
      <w:r>
        <w:rPr>
          <w:rFonts w:eastAsiaTheme="majorEastAsia" w:cstheme="majorBidi"/>
          <w:b/>
          <w:u w:val="single"/>
        </w:rPr>
        <w:t>Retribución</w:t>
      </w:r>
    </w:p>
    <w:p w:rsidR="00A972BA" w:rsidRDefault="00A972BA" w:rsidP="00A972BA">
      <w:pPr>
        <w:spacing w:after="0" w:line="240" w:lineRule="auto"/>
        <w:jc w:val="both"/>
        <w:rPr>
          <w:rFonts w:cs="Arial"/>
        </w:rPr>
      </w:pPr>
    </w:p>
    <w:p w:rsidR="0035706A" w:rsidRDefault="005566CC" w:rsidP="00542242">
      <w:pPr>
        <w:spacing w:after="0" w:line="240" w:lineRule="auto"/>
        <w:jc w:val="both"/>
      </w:pPr>
      <w:r w:rsidRPr="005566CC">
        <w:rPr>
          <w:rFonts w:cs="Arial"/>
        </w:rPr>
        <w:t>La cuantía de la retribución por todos los conceptos será de 5</w:t>
      </w:r>
      <w:r w:rsidR="00542242">
        <w:rPr>
          <w:rFonts w:cs="Arial"/>
        </w:rPr>
        <w:t>2</w:t>
      </w:r>
      <w:r w:rsidRPr="005566CC">
        <w:rPr>
          <w:rFonts w:cs="Arial"/>
        </w:rPr>
        <w:t>.</w:t>
      </w:r>
      <w:r w:rsidR="00542242">
        <w:rPr>
          <w:rFonts w:cs="Arial"/>
        </w:rPr>
        <w:t xml:space="preserve">785 </w:t>
      </w:r>
      <w:r w:rsidRPr="005566CC">
        <w:rPr>
          <w:rFonts w:cs="Arial"/>
        </w:rPr>
        <w:t>euros brutos</w:t>
      </w:r>
      <w:r w:rsidR="00542242">
        <w:rPr>
          <w:rFonts w:cs="Arial"/>
        </w:rPr>
        <w:t xml:space="preserve"> anuales</w:t>
      </w:r>
      <w:r w:rsidRPr="005566CC">
        <w:rPr>
          <w:rFonts w:cs="Arial"/>
        </w:rPr>
        <w:t xml:space="preserve">, divididos en 14 pagas, y los incrementos salariales a los que tenga derecho </w:t>
      </w:r>
      <w:r w:rsidR="00542242">
        <w:t>de acuerdo con las Leyes anuales de Presupuestos Generales de la Comunidad Autónoma de Cantabria y lo dispuesto en el artículo 14 de la Ley 2/2012, de 30 de mayo, de Medidas Administrativas, Económicas y Financieras para la ejecución del Plan de Sostenibilidad de los Servicios Públicos de la Comunidad Autónoma de Cantabria.</w:t>
      </w:r>
    </w:p>
    <w:sectPr w:rsidR="00357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A01"/>
    <w:multiLevelType w:val="hybridMultilevel"/>
    <w:tmpl w:val="477A9556"/>
    <w:lvl w:ilvl="0" w:tplc="0C0A000F">
      <w:start w:val="1"/>
      <w:numFmt w:val="decimal"/>
      <w:lvlText w:val="%1."/>
      <w:lvlJc w:val="left"/>
      <w:pPr>
        <w:ind w:left="2520" w:hanging="360"/>
      </w:pPr>
    </w:lvl>
    <w:lvl w:ilvl="1" w:tplc="0C0A0019">
      <w:start w:val="1"/>
      <w:numFmt w:val="lowerLetter"/>
      <w:lvlText w:val="%2."/>
      <w:lvlJc w:val="left"/>
      <w:pPr>
        <w:ind w:left="3240" w:hanging="360"/>
      </w:pPr>
    </w:lvl>
    <w:lvl w:ilvl="2" w:tplc="0C0A001B">
      <w:start w:val="1"/>
      <w:numFmt w:val="lowerRoman"/>
      <w:lvlText w:val="%3."/>
      <w:lvlJc w:val="right"/>
      <w:pPr>
        <w:ind w:left="3960" w:hanging="180"/>
      </w:pPr>
    </w:lvl>
    <w:lvl w:ilvl="3" w:tplc="0C0A000F">
      <w:start w:val="1"/>
      <w:numFmt w:val="decimal"/>
      <w:lvlText w:val="%4."/>
      <w:lvlJc w:val="left"/>
      <w:pPr>
        <w:ind w:left="4680" w:hanging="360"/>
      </w:pPr>
    </w:lvl>
    <w:lvl w:ilvl="4" w:tplc="0C0A0019">
      <w:start w:val="1"/>
      <w:numFmt w:val="lowerLetter"/>
      <w:lvlText w:val="%5."/>
      <w:lvlJc w:val="left"/>
      <w:pPr>
        <w:ind w:left="5400" w:hanging="360"/>
      </w:pPr>
    </w:lvl>
    <w:lvl w:ilvl="5" w:tplc="0C0A001B">
      <w:start w:val="1"/>
      <w:numFmt w:val="lowerRoman"/>
      <w:lvlText w:val="%6."/>
      <w:lvlJc w:val="right"/>
      <w:pPr>
        <w:ind w:left="6120" w:hanging="180"/>
      </w:pPr>
    </w:lvl>
    <w:lvl w:ilvl="6" w:tplc="0C0A000F">
      <w:start w:val="1"/>
      <w:numFmt w:val="decimal"/>
      <w:lvlText w:val="%7."/>
      <w:lvlJc w:val="left"/>
      <w:pPr>
        <w:ind w:left="6840" w:hanging="360"/>
      </w:pPr>
    </w:lvl>
    <w:lvl w:ilvl="7" w:tplc="0C0A0019">
      <w:start w:val="1"/>
      <w:numFmt w:val="lowerLetter"/>
      <w:lvlText w:val="%8."/>
      <w:lvlJc w:val="left"/>
      <w:pPr>
        <w:ind w:left="7560" w:hanging="360"/>
      </w:pPr>
    </w:lvl>
    <w:lvl w:ilvl="8" w:tplc="0C0A001B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ABF25BB"/>
    <w:multiLevelType w:val="hybridMultilevel"/>
    <w:tmpl w:val="C0ACFFDC"/>
    <w:lvl w:ilvl="0" w:tplc="55EC978C">
      <w:start w:val="1"/>
      <w:numFmt w:val="bullet"/>
      <w:lvlText w:val=""/>
      <w:lvlJc w:val="left"/>
      <w:pPr>
        <w:ind w:left="360" w:hanging="360"/>
      </w:pPr>
      <w:rPr>
        <w:rFonts w:ascii="Wingdings" w:hAnsi="Wingdings" w:hint="default"/>
        <w:color w:val="006600"/>
        <w:lang w:val="es-ES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EC1747"/>
    <w:multiLevelType w:val="hybridMultilevel"/>
    <w:tmpl w:val="679A197A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>
      <w:start w:val="1"/>
      <w:numFmt w:val="lowerRoman"/>
      <w:lvlText w:val="%3."/>
      <w:lvlJc w:val="right"/>
      <w:pPr>
        <w:ind w:left="3240" w:hanging="180"/>
      </w:pPr>
    </w:lvl>
    <w:lvl w:ilvl="3" w:tplc="0C0A000F">
      <w:start w:val="1"/>
      <w:numFmt w:val="decimal"/>
      <w:lvlText w:val="%4."/>
      <w:lvlJc w:val="left"/>
      <w:pPr>
        <w:ind w:left="3960" w:hanging="360"/>
      </w:pPr>
    </w:lvl>
    <w:lvl w:ilvl="4" w:tplc="0C0A0019">
      <w:start w:val="1"/>
      <w:numFmt w:val="lowerLetter"/>
      <w:lvlText w:val="%5."/>
      <w:lvlJc w:val="left"/>
      <w:pPr>
        <w:ind w:left="4680" w:hanging="360"/>
      </w:pPr>
    </w:lvl>
    <w:lvl w:ilvl="5" w:tplc="0C0A001B">
      <w:start w:val="1"/>
      <w:numFmt w:val="lowerRoman"/>
      <w:lvlText w:val="%6."/>
      <w:lvlJc w:val="right"/>
      <w:pPr>
        <w:ind w:left="5400" w:hanging="180"/>
      </w:pPr>
    </w:lvl>
    <w:lvl w:ilvl="6" w:tplc="0C0A000F">
      <w:start w:val="1"/>
      <w:numFmt w:val="decimal"/>
      <w:lvlText w:val="%7."/>
      <w:lvlJc w:val="left"/>
      <w:pPr>
        <w:ind w:left="6120" w:hanging="360"/>
      </w:pPr>
    </w:lvl>
    <w:lvl w:ilvl="7" w:tplc="0C0A0019">
      <w:start w:val="1"/>
      <w:numFmt w:val="lowerLetter"/>
      <w:lvlText w:val="%8."/>
      <w:lvlJc w:val="left"/>
      <w:pPr>
        <w:ind w:left="6840" w:hanging="360"/>
      </w:pPr>
    </w:lvl>
    <w:lvl w:ilvl="8" w:tplc="0C0A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E87545"/>
    <w:multiLevelType w:val="hybridMultilevel"/>
    <w:tmpl w:val="4AC85E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0768FF"/>
    <w:multiLevelType w:val="hybridMultilevel"/>
    <w:tmpl w:val="45FAF40E"/>
    <w:lvl w:ilvl="0" w:tplc="018810F0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BA"/>
    <w:rsid w:val="000532DE"/>
    <w:rsid w:val="00284875"/>
    <w:rsid w:val="00336A73"/>
    <w:rsid w:val="00542242"/>
    <w:rsid w:val="005566CC"/>
    <w:rsid w:val="00604579"/>
    <w:rsid w:val="00A972BA"/>
    <w:rsid w:val="00BE2383"/>
    <w:rsid w:val="00E3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5005"/>
  <w15:chartTrackingRefBased/>
  <w15:docId w15:val="{6A13DA25-24CF-4E8E-A57F-5BEDC964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2B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972BA"/>
    <w:pPr>
      <w:ind w:left="720"/>
      <w:contextualSpacing/>
    </w:pPr>
  </w:style>
  <w:style w:type="paragraph" w:customStyle="1" w:styleId="Cuerpo">
    <w:name w:val="Cuerpo"/>
    <w:rsid w:val="00A972B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es-ES"/>
    </w:rPr>
  </w:style>
  <w:style w:type="character" w:customStyle="1" w:styleId="Ninguno">
    <w:name w:val="Ninguno"/>
    <w:rsid w:val="00A97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Ruiz Lopez</dc:creator>
  <cp:keywords/>
  <dc:description/>
  <cp:lastModifiedBy>Maria Angeles Roba</cp:lastModifiedBy>
  <cp:revision>3</cp:revision>
  <dcterms:created xsi:type="dcterms:W3CDTF">2023-11-07T09:23:00Z</dcterms:created>
  <dcterms:modified xsi:type="dcterms:W3CDTF">2023-11-07T09:29:00Z</dcterms:modified>
</cp:coreProperties>
</file>